
<file path=[Content_Types].xml><?xml version="1.0" encoding="utf-8"?>
<Types xmlns="http://schemas.openxmlformats.org/package/2006/content-types">
  <Default ContentType="application/vnd.openxmlformats-officedocument.spreadsheetml.sheet" Extension="xlsx"/>
  <Default ContentType="application/xml" Extension="xml"/>
  <Default ContentType="application/x-font-ttf" Extension="ttf"/>
  <Default ContentType="image/x-emf" Extension="emf"/>
  <Default ContentType="application/vnd.openxmlformats-officedocument.wordprocessingml.document" Extension="docx"/>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jc w:val="both"/>
        <w:rPr>
          <w:rFonts w:ascii="Arial" w:cs="Arial" w:eastAsia="Arial" w:hAnsi="Arial"/>
          <w:b w:val="1"/>
          <w:sz w:val="36"/>
          <w:szCs w:val="36"/>
        </w:rPr>
      </w:pPr>
      <w:bookmarkStart w:colFirst="0" w:colLast="0" w:name="_heading=h.gjdgxs" w:id="1"/>
      <w:bookmarkEnd w:id="1"/>
      <w:r w:rsidDel="00000000" w:rsidR="00000000" w:rsidRPr="00000000">
        <w:rPr>
          <w:rFonts w:ascii="Arial" w:cs="Arial" w:eastAsia="Arial" w:hAnsi="Arial"/>
          <w:b w:val="1"/>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sz w:val="36"/>
          <w:szCs w:val="36"/>
          <w:rtl w:val="0"/>
        </w:rPr>
        <w:t xml:space="preserve">) </w:t>
      </w:r>
    </w:p>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spacing w:after="120" w:before="240"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1: Order Procedure</w:t>
      </w:r>
    </w:p>
    <w:p w:rsidR="00000000" w:rsidDel="00000000" w:rsidP="00000000" w:rsidRDefault="00000000" w:rsidRPr="00000000" w14:paraId="00000004">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p w:rsidR="00000000" w:rsidDel="00000000" w:rsidP="00000000" w:rsidRDefault="00000000" w:rsidRPr="00000000" w14:paraId="00000005">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p>
    <w:p w:rsidR="00000000" w:rsidDel="00000000" w:rsidP="00000000" w:rsidRDefault="00000000" w:rsidRPr="00000000" w14:paraId="00000006">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ind w:left="709"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Capability Matrix</w:t>
      </w:r>
      <w:r w:rsidDel="00000000" w:rsidR="00000000" w:rsidRPr="00000000">
        <w:rPr>
          <w:rFonts w:ascii="Arial" w:cs="Arial" w:eastAsia="Arial" w:hAnsi="Arial"/>
          <w:sz w:val="24"/>
          <w:szCs w:val="24"/>
          <w:rtl w:val="0"/>
        </w:rPr>
        <w:t xml:space="preserve">” means the table set out in Annex A.2 below reflecting the specialisms which Suppliers under each Lot have offered as part of their Framework Schedule 2 (Framework Tender).</w:t>
      </w:r>
    </w:p>
    <w:p w:rsidR="00000000" w:rsidDel="00000000" w:rsidP="00000000" w:rsidRDefault="00000000" w:rsidRPr="00000000" w14:paraId="00000007">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ind w:left="709"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Guidance</w:t>
      </w:r>
      <w:r w:rsidDel="00000000" w:rsidR="00000000" w:rsidRPr="00000000">
        <w:rPr>
          <w:rFonts w:ascii="Arial" w:cs="Arial" w:eastAsia="Arial" w:hAnsi="Arial"/>
          <w:sz w:val="24"/>
          <w:szCs w:val="24"/>
          <w:rtl w:val="0"/>
        </w:rPr>
        <w:t xml:space="preserve">” means the Buyer guidance issued or updated by the CCS from time to time in relation to the use of the Framework Contract.</w:t>
      </w:r>
    </w:p>
    <w:p w:rsidR="00000000" w:rsidDel="00000000" w:rsidP="00000000" w:rsidRDefault="00000000" w:rsidRPr="00000000" w14:paraId="00000008">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ind w:left="709"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Prospectus</w:t>
      </w:r>
      <w:r w:rsidDel="00000000" w:rsidR="00000000" w:rsidRPr="00000000">
        <w:rPr>
          <w:rFonts w:ascii="Arial" w:cs="Arial" w:eastAsia="Arial" w:hAnsi="Arial"/>
          <w:sz w:val="24"/>
          <w:szCs w:val="24"/>
          <w:rtl w:val="0"/>
        </w:rPr>
        <w:t xml:space="preserve">” means the written description of the Supplier’s capabilities and Supplier Staff and in the form set out in Annex A.1 of this Framework Schedule 7, as the same may be amended or updated from time to time.</w:t>
      </w:r>
    </w:p>
    <w:p w:rsidR="00000000" w:rsidDel="00000000" w:rsidP="00000000" w:rsidRDefault="00000000" w:rsidRPr="00000000" w14:paraId="00000009">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How a Call-Off Contract is awarded</w:t>
      </w:r>
    </w:p>
    <w:p w:rsidR="00000000" w:rsidDel="00000000" w:rsidP="00000000" w:rsidRDefault="00000000" w:rsidRPr="00000000" w14:paraId="0000000A">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bookmarkStart w:colFirst="0" w:colLast="0" w:name="_heading=h.30j0zll" w:id="2"/>
      <w:bookmarkEnd w:id="2"/>
      <w:r w:rsidDel="00000000" w:rsidR="00000000" w:rsidRPr="00000000">
        <w:rPr>
          <w:rFonts w:ascii="Arial" w:cs="Arial" w:eastAsia="Arial" w:hAnsi="Arial"/>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B">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bookmarkStart w:colFirst="0" w:colLast="0" w:name="_heading=h.1fob9te" w:id="3"/>
      <w:bookmarkEnd w:id="3"/>
      <w:r w:rsidDel="00000000" w:rsidR="00000000" w:rsidRPr="00000000">
        <w:rPr>
          <w:rFonts w:ascii="Arial" w:cs="Arial" w:eastAsia="Arial" w:hAnsi="Arial"/>
          <w:sz w:val="24"/>
          <w:szCs w:val="24"/>
          <w:rtl w:val="0"/>
        </w:rPr>
        <w:t xml:space="preserve">If the potential Buyer can determine that:</w:t>
      </w:r>
    </w:p>
    <w:p w:rsidR="00000000" w:rsidDel="00000000" w:rsidP="00000000" w:rsidRDefault="00000000" w:rsidRPr="00000000" w14:paraId="0000000C">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Deliverables can be met by the Prospectus and the description of the Deliverables as set out in Framework Schedule 1 (Specification) and Framework Schedule 2 (Framework Tender);  </w:t>
      </w:r>
    </w:p>
    <w:p w:rsidR="00000000" w:rsidDel="00000000" w:rsidP="00000000" w:rsidRDefault="00000000" w:rsidRPr="00000000" w14:paraId="0000000D">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price for the Deliverables, will be calculated in accordance with and no greater than that the Pricing Mechanisms and prices set out in Framework Schedule 3 (Framework Prices); and</w:t>
      </w:r>
    </w:p>
    <w:p w:rsidR="00000000" w:rsidDel="00000000" w:rsidP="00000000" w:rsidRDefault="00000000" w:rsidRPr="00000000" w14:paraId="0000000E">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of the terms of the proposed Call-Off Contract are laid down in this Contract and do not require material amendment or any supplementary terms and conditions;</w:t>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tabs>
          <w:tab w:val="left" w:leader="none" w:pos="4536"/>
        </w:tabs>
        <w:spacing w:after="220" w:lineRule="auto"/>
        <w:ind w:left="127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then the Buyer may award a Call-Off Contract in accordance with the procedure set out in Paragraph 2 below.</w:t>
      </w:r>
    </w:p>
    <w:p w:rsidR="00000000" w:rsidDel="00000000" w:rsidP="00000000" w:rsidRDefault="00000000" w:rsidRPr="00000000" w14:paraId="00000010">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grounds for a direct award set out in Paragraph 1.2 above do not apply or the potential Buyer:</w:t>
      </w:r>
    </w:p>
    <w:p w:rsidR="00000000" w:rsidDel="00000000" w:rsidP="00000000" w:rsidRDefault="00000000" w:rsidRPr="00000000" w14:paraId="00000011">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requires the Supplier to develop proposals or a solution in respect of such Deliverables; </w:t>
      </w:r>
    </w:p>
    <w:p w:rsidR="00000000" w:rsidDel="00000000" w:rsidP="00000000" w:rsidRDefault="00000000" w:rsidRPr="00000000" w14:paraId="00000012">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requires the Supplier to refine its pricing for the Deliverables calculated in accordance with and no greater than the Pricing Mechanisms and prices set out in Framework Schedule 3 (Framework Prices); and/or</w:t>
      </w:r>
    </w:p>
    <w:p w:rsidR="00000000" w:rsidDel="00000000" w:rsidP="00000000" w:rsidRDefault="00000000" w:rsidRPr="00000000" w14:paraId="00000013">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tabs>
          <w:tab w:val="left" w:leader="none" w:pos="4536"/>
        </w:tabs>
        <w:spacing w:after="220" w:lineRule="auto"/>
        <w:ind w:left="127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15">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How a direct award works</w:t>
      </w:r>
    </w:p>
    <w:p w:rsidR="00000000" w:rsidDel="00000000" w:rsidP="00000000" w:rsidRDefault="00000000" w:rsidRPr="00000000" w14:paraId="00000016">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7">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develop a clear Statement of Requirements;</w:t>
      </w:r>
    </w:p>
    <w:p w:rsidR="00000000" w:rsidDel="00000000" w:rsidP="00000000" w:rsidRDefault="00000000" w:rsidRPr="00000000" w14:paraId="00000018">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review the Capability Matrix to determine which Suppliers are capable of delivering the Statement of Requirements;</w:t>
      </w:r>
    </w:p>
    <w:p w:rsidR="00000000" w:rsidDel="00000000" w:rsidP="00000000" w:rsidRDefault="00000000" w:rsidRPr="00000000" w14:paraId="00000019">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apply the direct award criteria to the Suppliers’ Prospectus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A">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tabs>
          <w:tab w:val="left" w:leader="none" w:pos="3641"/>
        </w:tabs>
        <w:spacing w:after="120" w:before="120" w:lineRule="auto"/>
        <w:ind w:left="2610" w:firstLine="0"/>
        <w:jc w:val="both"/>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C">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How a further competition works</w:t>
      </w:r>
    </w:p>
    <w:p w:rsidR="00000000" w:rsidDel="00000000" w:rsidP="00000000" w:rsidRDefault="00000000" w:rsidRPr="00000000" w14:paraId="0000001D">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What the Buyer has to do</w:t>
      </w:r>
    </w:p>
    <w:p w:rsidR="00000000" w:rsidDel="00000000" w:rsidP="00000000" w:rsidRDefault="00000000" w:rsidRPr="00000000" w14:paraId="0000001E">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sz w:val="24"/>
          <w:szCs w:val="24"/>
        </w:rPr>
      </w:pPr>
      <w:r w:rsidDel="00000000" w:rsidR="00000000" w:rsidRPr="00000000">
        <w:rPr>
          <w:rFonts w:ascii="Arial" w:cs="Arial" w:eastAsia="Arial" w:hAnsi="Arial"/>
          <w:sz w:val="24"/>
          <w:szCs w:val="24"/>
          <w:rtl w:val="0"/>
        </w:rPr>
        <w:t xml:space="preserve">Subject to Paragraph 1.3, if applicable, the Buyer may use one or more of the following procedures to shortlist Suppliers before entering into a Further Competition Procedure: </w:t>
      </w:r>
      <w:r w:rsidDel="00000000" w:rsidR="00000000" w:rsidRPr="00000000">
        <w:rPr>
          <w:rtl w:val="0"/>
        </w:rPr>
      </w:r>
    </w:p>
    <w:p w:rsidR="00000000" w:rsidDel="00000000" w:rsidP="00000000" w:rsidRDefault="00000000" w:rsidRPr="00000000" w14:paraId="0000001F">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jc w:val="both"/>
        <w:rPr>
          <w:sz w:val="24"/>
          <w:szCs w:val="24"/>
        </w:rPr>
      </w:pPr>
      <w:r w:rsidDel="00000000" w:rsidR="00000000" w:rsidRPr="00000000">
        <w:rPr>
          <w:rFonts w:ascii="Arial" w:cs="Arial" w:eastAsia="Arial" w:hAnsi="Arial"/>
          <w:sz w:val="24"/>
          <w:szCs w:val="24"/>
          <w:u w:val="single"/>
          <w:rtl w:val="0"/>
        </w:rPr>
        <w:t xml:space="preserve">Capability Matrix</w:t>
      </w:r>
      <w:r w:rsidDel="00000000" w:rsidR="00000000" w:rsidRPr="00000000">
        <w:rPr>
          <w:rFonts w:ascii="Arial" w:cs="Arial" w:eastAsia="Arial" w:hAnsi="Arial"/>
          <w:sz w:val="24"/>
          <w:szCs w:val="24"/>
          <w:rtl w:val="0"/>
        </w:rPr>
        <w:t xml:space="preserve"> – The Buyer will produce a supplier shortlist based on the Capability Matrix and the suppliers’ Prospectus(es). </w:t>
      </w:r>
      <w:r w:rsidDel="00000000" w:rsidR="00000000" w:rsidRPr="00000000">
        <w:rPr>
          <w:rtl w:val="0"/>
        </w:rPr>
      </w:r>
    </w:p>
    <w:p w:rsidR="00000000" w:rsidDel="00000000" w:rsidP="00000000" w:rsidRDefault="00000000" w:rsidRPr="00000000" w14:paraId="00000020">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jc w:val="both"/>
        <w:rPr>
          <w:sz w:val="24"/>
          <w:szCs w:val="24"/>
        </w:rPr>
      </w:pPr>
      <w:r w:rsidDel="00000000" w:rsidR="00000000" w:rsidRPr="00000000">
        <w:rPr>
          <w:rFonts w:ascii="Arial" w:cs="Arial" w:eastAsia="Arial" w:hAnsi="Arial"/>
          <w:sz w:val="24"/>
          <w:szCs w:val="24"/>
          <w:u w:val="single"/>
          <w:rtl w:val="0"/>
        </w:rPr>
        <w:t xml:space="preserve">Expression Of Interest (EOI)</w:t>
      </w:r>
      <w:r w:rsidDel="00000000" w:rsidR="00000000" w:rsidRPr="00000000">
        <w:rPr>
          <w:rFonts w:ascii="Arial" w:cs="Arial" w:eastAsia="Arial" w:hAnsi="Arial"/>
          <w:sz w:val="24"/>
          <w:szCs w:val="24"/>
          <w:rtl w:val="0"/>
        </w:rPr>
        <w:t xml:space="preserve"> – The Buyer may use an EOI process to produce a Supplier shortlist. The EOI may contain the following details but is not limited to: scope, scale, timescales, incumbent supplier, grades, payment terms, capacity and/or budget. </w:t>
      </w:r>
      <w:r w:rsidDel="00000000" w:rsidR="00000000" w:rsidRPr="00000000">
        <w:rPr>
          <w:rtl w:val="0"/>
        </w:rPr>
      </w:r>
    </w:p>
    <w:p w:rsidR="00000000" w:rsidDel="00000000" w:rsidP="00000000" w:rsidRDefault="00000000" w:rsidRPr="00000000" w14:paraId="00000021">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jc w:val="both"/>
        <w:rPr>
          <w:sz w:val="24"/>
          <w:szCs w:val="24"/>
        </w:rPr>
      </w:pPr>
      <w:r w:rsidDel="00000000" w:rsidR="00000000" w:rsidRPr="00000000">
        <w:rPr>
          <w:rFonts w:ascii="Arial" w:cs="Arial" w:eastAsia="Arial" w:hAnsi="Arial"/>
          <w:sz w:val="24"/>
          <w:szCs w:val="24"/>
          <w:u w:val="single"/>
          <w:rtl w:val="0"/>
        </w:rPr>
        <w:t xml:space="preserve">Capability Matrix and Expression of Interest</w:t>
      </w:r>
      <w:r w:rsidDel="00000000" w:rsidR="00000000" w:rsidRPr="00000000">
        <w:rPr>
          <w:rFonts w:ascii="Arial" w:cs="Arial" w:eastAsia="Arial" w:hAnsi="Arial"/>
          <w:sz w:val="24"/>
          <w:szCs w:val="24"/>
          <w:rtl w:val="0"/>
        </w:rPr>
        <w:t xml:space="preserve"> – The Buyer may use both of the procedures detailed in Paragraph 3.1.2 and 3.1.3. </w:t>
      </w:r>
      <w:r w:rsidDel="00000000" w:rsidR="00000000" w:rsidRPr="00000000">
        <w:rPr>
          <w:rtl w:val="0"/>
        </w:rPr>
      </w:r>
    </w:p>
    <w:p w:rsidR="00000000" w:rsidDel="00000000" w:rsidP="00000000" w:rsidRDefault="00000000" w:rsidRPr="00000000" w14:paraId="00000022">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jc w:val="both"/>
        <w:rPr>
          <w:sz w:val="24"/>
          <w:szCs w:val="24"/>
        </w:rPr>
      </w:pPr>
      <w:r w:rsidDel="00000000" w:rsidR="00000000" w:rsidRPr="00000000">
        <w:rPr>
          <w:rFonts w:ascii="Arial" w:cs="Arial" w:eastAsia="Arial" w:hAnsi="Arial"/>
          <w:sz w:val="24"/>
          <w:szCs w:val="24"/>
          <w:u w:val="single"/>
          <w:rtl w:val="0"/>
        </w:rPr>
        <w:t xml:space="preserve">Conference call</w:t>
      </w:r>
      <w:r w:rsidDel="00000000" w:rsidR="00000000" w:rsidRPr="00000000">
        <w:rPr>
          <w:rFonts w:ascii="Arial" w:cs="Arial" w:eastAsia="Arial" w:hAnsi="Arial"/>
          <w:sz w:val="24"/>
          <w:szCs w:val="24"/>
          <w:rtl w:val="0"/>
        </w:rPr>
        <w:t xml:space="preserve"> – The Buyer may use this after the EOI. The Buyer will provide further information on its requirement and Suppliers may have the opportunity to raise queries. </w:t>
      </w:r>
      <w:r w:rsidDel="00000000" w:rsidR="00000000" w:rsidRPr="00000000">
        <w:rPr>
          <w:rtl w:val="0"/>
        </w:rPr>
      </w:r>
    </w:p>
    <w:p w:rsidR="00000000" w:rsidDel="00000000" w:rsidP="00000000" w:rsidRDefault="00000000" w:rsidRPr="00000000" w14:paraId="00000023">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sz w:val="24"/>
          <w:szCs w:val="24"/>
        </w:rPr>
      </w:pPr>
      <w:r w:rsidDel="00000000" w:rsidR="00000000" w:rsidRPr="00000000">
        <w:rPr>
          <w:rFonts w:ascii="Arial" w:cs="Arial" w:eastAsia="Arial" w:hAnsi="Arial"/>
          <w:sz w:val="24"/>
          <w:szCs w:val="24"/>
          <w:rtl w:val="0"/>
        </w:rPr>
        <w:t xml:space="preserve">Suppliers can deselect themselves through the process after the EOI and/or conference call. </w:t>
      </w:r>
      <w:r w:rsidDel="00000000" w:rsidR="00000000" w:rsidRPr="00000000">
        <w:rPr>
          <w:rtl w:val="0"/>
        </w:rPr>
      </w:r>
    </w:p>
    <w:p w:rsidR="00000000" w:rsidDel="00000000" w:rsidP="00000000" w:rsidRDefault="00000000" w:rsidRPr="00000000" w14:paraId="00000024">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sz w:val="24"/>
          <w:szCs w:val="24"/>
        </w:rPr>
      </w:pPr>
      <w:r w:rsidDel="00000000" w:rsidR="00000000" w:rsidRPr="00000000">
        <w:rPr>
          <w:rFonts w:ascii="Arial" w:cs="Arial" w:eastAsia="Arial" w:hAnsi="Arial"/>
          <w:sz w:val="24"/>
          <w:szCs w:val="24"/>
          <w:rtl w:val="0"/>
        </w:rPr>
        <w:t xml:space="preserve">If the Supplier does not respond to the EOI in accordance with any stated timescales they will not be invited to participate in the Further Competition Procedure. </w:t>
      </w:r>
      <w:r w:rsidDel="00000000" w:rsidR="00000000" w:rsidRPr="00000000">
        <w:rPr>
          <w:rtl w:val="0"/>
        </w:rPr>
      </w:r>
    </w:p>
    <w:p w:rsidR="00000000" w:rsidDel="00000000" w:rsidP="00000000" w:rsidRDefault="00000000" w:rsidRPr="00000000" w14:paraId="00000025">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sz w:val="24"/>
          <w:szCs w:val="24"/>
        </w:rPr>
      </w:pPr>
      <w:r w:rsidDel="00000000" w:rsidR="00000000" w:rsidRPr="00000000">
        <w:rPr>
          <w:rFonts w:ascii="Arial" w:cs="Arial" w:eastAsia="Arial" w:hAnsi="Arial"/>
          <w:sz w:val="24"/>
          <w:szCs w:val="24"/>
          <w:rtl w:val="0"/>
        </w:rPr>
        <w:t xml:space="preserve">If the Supplier is invited to the conference call and they do not attend, they may not be invited to participate in the Further Competition Procedure. </w:t>
      </w:r>
      <w:r w:rsidDel="00000000" w:rsidR="00000000" w:rsidRPr="00000000">
        <w:rPr>
          <w:rtl w:val="0"/>
        </w:rPr>
      </w:r>
    </w:p>
    <w:p w:rsidR="00000000" w:rsidDel="00000000" w:rsidP="00000000" w:rsidRDefault="00000000" w:rsidRPr="00000000" w14:paraId="00000026">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sz w:val="24"/>
          <w:szCs w:val="24"/>
        </w:rPr>
      </w:pPr>
      <w:r w:rsidDel="00000000" w:rsidR="00000000" w:rsidRPr="00000000">
        <w:rPr>
          <w:rFonts w:ascii="Arial" w:cs="Arial" w:eastAsia="Arial" w:hAnsi="Arial"/>
          <w:sz w:val="24"/>
          <w:szCs w:val="24"/>
          <w:rtl w:val="0"/>
        </w:rPr>
        <w:t xml:space="preserve">CCS reserves the right to add or change the Capability Matrix throughout the Contract Period of the Framework Contract. </w:t>
      </w:r>
      <w:r w:rsidDel="00000000" w:rsidR="00000000" w:rsidRPr="00000000">
        <w:rPr>
          <w:rtl w:val="0"/>
        </w:rPr>
      </w:r>
    </w:p>
    <w:p w:rsidR="00000000" w:rsidDel="00000000" w:rsidP="00000000" w:rsidRDefault="00000000" w:rsidRPr="00000000" w14:paraId="00000027">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The Supplier may request CCS’ agreement to revise their Capability Matrix </w:t>
      </w:r>
      <w:r w:rsidDel="00000000" w:rsidR="00000000" w:rsidRPr="00000000">
        <w:rPr>
          <w:rtl w:val="0"/>
        </w:rPr>
        <w:t xml:space="preserve">      </w:t>
      </w:r>
      <w:r w:rsidDel="00000000" w:rsidR="00000000" w:rsidRPr="00000000">
        <w:rPr>
          <w:rFonts w:ascii="Arial" w:cs="Arial" w:eastAsia="Arial" w:hAnsi="Arial"/>
          <w:sz w:val="24"/>
          <w:szCs w:val="24"/>
          <w:rtl w:val="0"/>
        </w:rPr>
        <w:t xml:space="preserve">to add or remove Optional Specialisms by submitting a variation request to CCS However, the Supplier must not change any of the Mandatory Specialisms associated with the Lot(s) they were awarded.</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rtl w:val="0"/>
        </w:rPr>
        <w:t xml:space="preserve">For the full list of Optional Specialisms see Framework Schedule 1 (Specification). </w:t>
      </w:r>
      <w:r w:rsidDel="00000000" w:rsidR="00000000" w:rsidRPr="00000000">
        <w:rPr>
          <w:rtl w:val="0"/>
        </w:rPr>
      </w:r>
    </w:p>
    <w:p w:rsidR="00000000" w:rsidDel="00000000" w:rsidP="00000000" w:rsidRDefault="00000000" w:rsidRPr="00000000" w14:paraId="00000028">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awarding a Call-Off Contract under this Contract through a Further Competition Procedure shall:</w:t>
      </w:r>
    </w:p>
    <w:p w:rsidR="00000000" w:rsidDel="00000000" w:rsidP="00000000" w:rsidRDefault="00000000" w:rsidRPr="00000000" w14:paraId="00000029">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sz w:val="24"/>
          <w:szCs w:val="24"/>
          <w:rtl w:val="0"/>
        </w:rPr>
        <w:t xml:space="preserve">develop a Statement of Requirements setting out its requirements for the Deliverables and identify the Suppliers capable of supplying them using the process in Paragraph 3.1 above;</w:t>
      </w:r>
    </w:p>
    <w:p w:rsidR="00000000" w:rsidDel="00000000" w:rsidP="00000000" w:rsidRDefault="00000000" w:rsidRPr="00000000" w14:paraId="0000002A">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bookmarkStart w:colFirst="0" w:colLast="0" w:name="_heading=h.2et92p0" w:id="5"/>
      <w:bookmarkEnd w:id="5"/>
      <w:r w:rsidDel="00000000" w:rsidR="00000000" w:rsidRPr="00000000">
        <w:rPr>
          <w:rFonts w:ascii="Arial" w:cs="Arial" w:eastAsia="Arial" w:hAnsi="Arial"/>
          <w:sz w:val="24"/>
          <w:szCs w:val="24"/>
          <w:rtl w:val="0"/>
        </w:rPr>
        <w:t xml:space="preserve">amend or refine the Deliverables to reflect its requirements by using the Order Form including, if applicable, the Statement(s) of Work only to the extent permitted by and in accordance with the requirements of the Regulations;</w:t>
      </w:r>
    </w:p>
    <w:p w:rsidR="00000000" w:rsidDel="00000000" w:rsidP="00000000" w:rsidRDefault="00000000" w:rsidRPr="00000000" w14:paraId="0000002B">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bookmarkStart w:colFirst="0" w:colLast="0" w:name="_heading=h.tyjcwt" w:id="6"/>
      <w:bookmarkEnd w:id="6"/>
      <w:r w:rsidDel="00000000" w:rsidR="00000000" w:rsidRPr="00000000">
        <w:rPr>
          <w:rFonts w:ascii="Arial" w:cs="Arial" w:eastAsia="Arial" w:hAnsi="Arial"/>
          <w:sz w:val="24"/>
          <w:szCs w:val="24"/>
          <w:rtl w:val="0"/>
        </w:rPr>
        <w:t xml:space="preserve">state the Pricing Mechanism the Buyer seeks to apply to the Deliverables;</w:t>
      </w:r>
    </w:p>
    <w:p w:rsidR="00000000" w:rsidDel="00000000" w:rsidP="00000000" w:rsidRDefault="00000000" w:rsidRPr="00000000" w14:paraId="0000002C">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invite tenders by conducting a Further Competition Procedure for its Deliverables in accordance with the Regulations.</w:t>
      </w:r>
    </w:p>
    <w:p w:rsidR="00000000" w:rsidDel="00000000" w:rsidP="00000000" w:rsidRDefault="00000000" w:rsidRPr="00000000" w14:paraId="0000002D">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apply the further competition award criteria to the Suppliers' compliant tenders submitted through the Further Competition Procedure using either Option 1 or Option 2 as set out in Annex C as the basis of its decision to award a Call-Off Contract for its Deliverables;</w:t>
      </w:r>
    </w:p>
    <w:p w:rsidR="00000000" w:rsidDel="00000000" w:rsidP="00000000" w:rsidRDefault="00000000" w:rsidRPr="00000000" w14:paraId="0000002E">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F">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6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the Deliverables;</w:t>
      </w:r>
    </w:p>
    <w:p w:rsidR="00000000" w:rsidDel="00000000" w:rsidP="00000000" w:rsidRDefault="00000000" w:rsidRPr="00000000" w14:paraId="00000030">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6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the tender submitted by the successful Supplier;</w:t>
      </w:r>
    </w:p>
    <w:p w:rsidR="00000000" w:rsidDel="00000000" w:rsidP="00000000" w:rsidRDefault="00000000" w:rsidRPr="00000000" w14:paraId="00000031">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6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32">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6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incorporate the terms of the Order Form and Contract (as may be amended or refined by the Buyer in accordance with Paragraph 3.7.2. above) applicable to the Deliverables,</w:t>
      </w:r>
    </w:p>
    <w:p w:rsidR="00000000" w:rsidDel="00000000" w:rsidP="00000000" w:rsidRDefault="00000000" w:rsidRPr="00000000" w14:paraId="00000033">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unsuccessful Suppliers with written feedback in relation to the reasons why their tenders were unsuccessful within 30 days of the Call-Off Contract being awarded.</w:t>
      </w:r>
    </w:p>
    <w:p w:rsidR="00000000" w:rsidDel="00000000" w:rsidP="00000000" w:rsidRDefault="00000000" w:rsidRPr="00000000" w14:paraId="00000034">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What the Supplier has to do</w:t>
      </w:r>
    </w:p>
    <w:p w:rsidR="00000000" w:rsidDel="00000000" w:rsidP="00000000" w:rsidRDefault="00000000" w:rsidRPr="00000000" w14:paraId="00000035">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sz w:val="24"/>
          <w:szCs w:val="24"/>
        </w:rPr>
      </w:pPr>
      <w:r w:rsidDel="00000000" w:rsidR="00000000" w:rsidRPr="00000000">
        <w:rPr>
          <w:rFonts w:ascii="Arial" w:cs="Arial" w:eastAsia="Arial" w:hAnsi="Arial"/>
          <w:sz w:val="24"/>
          <w:szCs w:val="24"/>
          <w:rtl w:val="0"/>
        </w:rPr>
        <w:t xml:space="preserve">The Supplier shall in writing, by the time and date specified by the Buyer following an invitation to tender pursuant to Paragraph 3.7.4 above, provide the Buyer, with either:</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6">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statement to the effect that it does not wish to tender in relation to the Deliverables, including the reasons why; or</w:t>
      </w:r>
    </w:p>
    <w:p w:rsidR="00000000" w:rsidDel="00000000" w:rsidP="00000000" w:rsidRDefault="00000000" w:rsidRPr="00000000" w14:paraId="00000037">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full details of its tender made in respect of the relevant Statement of Requirements. </w:t>
      </w:r>
    </w:p>
    <w:p w:rsidR="00000000" w:rsidDel="00000000" w:rsidP="00000000" w:rsidRDefault="00000000" w:rsidRPr="00000000" w14:paraId="00000038">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any prices submitted in relation to a Further Competition Procedure held pursuant to this Paragraph 3 shall be based on the prices refined under the applicable Pricing Mechanism and prices that are no greater than those set out in Framework Schedule 3 (Framework Prices).</w:t>
      </w:r>
    </w:p>
    <w:p w:rsidR="00000000" w:rsidDel="00000000" w:rsidP="00000000" w:rsidRDefault="00000000" w:rsidRPr="00000000" w14:paraId="00000039">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agrees that:</w:t>
      </w:r>
    </w:p>
    <w:p w:rsidR="00000000" w:rsidDel="00000000" w:rsidP="00000000" w:rsidRDefault="00000000" w:rsidRPr="00000000" w14:paraId="0000003A">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7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B">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74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C">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D">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E">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No requirement to award</w:t>
      </w:r>
      <w:r w:rsidDel="00000000" w:rsidR="00000000" w:rsidRPr="00000000">
        <w:rPr>
          <w:rtl w:val="0"/>
        </w:rPr>
      </w:r>
    </w:p>
    <w:p w:rsidR="00000000" w:rsidDel="00000000" w:rsidP="00000000" w:rsidRDefault="00000000" w:rsidRPr="00000000" w14:paraId="0000003F">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tab/>
        <w:br w:type="textWrapping"/>
      </w:r>
    </w:p>
    <w:p w:rsidR="00000000" w:rsidDel="00000000" w:rsidP="00000000" w:rsidRDefault="00000000" w:rsidRPr="00000000" w14:paraId="00000040">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Call-Off Contract includes a Statement(s) of Work, the Buyer shall be entitled at all times to decline to make an award of its Deliverables and nothing in this Contract shall oblige the Buyer to award any further Statements of Work</w:t>
      </w:r>
    </w:p>
    <w:p w:rsidR="00000000" w:rsidDel="00000000" w:rsidP="00000000" w:rsidRDefault="00000000" w:rsidRPr="00000000" w14:paraId="00000041">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Who is responsible for the award</w:t>
      </w:r>
    </w:p>
    <w:p w:rsidR="00000000" w:rsidDel="00000000" w:rsidP="00000000" w:rsidRDefault="00000000" w:rsidRPr="00000000" w14:paraId="00000042">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43">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conduct of Buyer in relation to this Contract; or</w:t>
      </w:r>
    </w:p>
    <w:p w:rsidR="00000000" w:rsidDel="00000000" w:rsidP="00000000" w:rsidRDefault="00000000" w:rsidRPr="00000000" w14:paraId="00000044">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45">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6">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bookmarkStart w:colFirst="0" w:colLast="0" w:name="_heading=h.3dy6vkm" w:id="7"/>
      <w:bookmarkEnd w:id="7"/>
      <w:r w:rsidDel="00000000" w:rsidR="00000000" w:rsidRPr="00000000">
        <w:rPr>
          <w:rFonts w:ascii="Arial" w:cs="Arial" w:eastAsia="Arial" w:hAnsi="Arial"/>
          <w:sz w:val="24"/>
          <w:szCs w:val="24"/>
          <w:rtl w:val="0"/>
        </w:rPr>
        <w:t xml:space="preserve">Subject to Paragraphs 1 to 5, 7</w:t>
      </w:r>
      <w:r w:rsidDel="00000000" w:rsidR="00000000" w:rsidRPr="00000000">
        <w:rPr>
          <w:rtl w:val="0"/>
        </w:rPr>
        <w:t xml:space="preserve"> </w:t>
      </w:r>
      <w:r w:rsidDel="00000000" w:rsidR="00000000" w:rsidRPr="00000000">
        <w:rPr>
          <w:rFonts w:ascii="Arial" w:cs="Arial" w:eastAsia="Arial" w:hAnsi="Arial"/>
          <w:sz w:val="24"/>
          <w:szCs w:val="24"/>
          <w:rtl w:val="0"/>
        </w:rPr>
        <w:t xml:space="preserve">and 8, a Buyer may award a Call-Off Contract with the Supplier by sending (including electronically) a signed Order Form substantially in the form (as may be amended or refined by the Buyer in accordance with Paragraph 3.7.2 above) of the Order Form Template set out in Framework Schedule 6 (Order Form Template and Call-Off Schedules).</w:t>
      </w:r>
    </w:p>
    <w:p w:rsidR="00000000" w:rsidDel="00000000" w:rsidP="00000000" w:rsidRDefault="00000000" w:rsidRPr="00000000" w14:paraId="00000047">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8">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bookmarkStart w:colFirst="0" w:colLast="0" w:name="_heading=h.1t3h5sf" w:id="8"/>
      <w:bookmarkEnd w:id="8"/>
      <w:r w:rsidDel="00000000" w:rsidR="00000000" w:rsidRPr="00000000">
        <w:rPr>
          <w:rFonts w:ascii="Arial" w:cs="Arial" w:eastAsia="Arial" w:hAnsi="Arial"/>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9">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receipt of the countersigned Order Form from the Supplier, the Buyer shall send (including by electronic means) a written notice of receipt to the Supplier within two (2) Working Days and the Call-Off Contract shall be formed with effect from the Call-Off Start Date stated in the Order Form.</w:t>
      </w:r>
    </w:p>
    <w:p w:rsidR="00000000" w:rsidDel="00000000" w:rsidP="00000000" w:rsidRDefault="00000000" w:rsidRPr="00000000" w14:paraId="0000004A">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C</w:t>
      </w:r>
      <w:r w:rsidDel="00000000" w:rsidR="00000000" w:rsidRPr="00000000">
        <w:rPr>
          <w:rFonts w:ascii="Arial" w:cs="Arial" w:eastAsia="Arial" w:hAnsi="Arial"/>
          <w:b w:val="1"/>
          <w:sz w:val="24"/>
          <w:szCs w:val="24"/>
          <w:rtl w:val="0"/>
        </w:rPr>
        <w:t xml:space="preserve">reating a Statement of Work following the execution of an Order Form</w:t>
      </w:r>
      <w:r w:rsidDel="00000000" w:rsidR="00000000" w:rsidRPr="00000000">
        <w:rPr>
          <w:rtl w:val="0"/>
        </w:rPr>
      </w:r>
    </w:p>
    <w:p w:rsidR="00000000" w:rsidDel="00000000" w:rsidP="00000000" w:rsidRDefault="00000000" w:rsidRPr="00000000" w14:paraId="0000004B">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Buyer may execute additional Statements of Work with the Supplier by sending a signed Statement of Work using the template set out in the Order Form. On receipt the Supplier shall accept the Statement of Work by promptly signing and returning a copy of to the Buyer. </w:t>
      </w:r>
    </w:p>
    <w:p w:rsidR="00000000" w:rsidDel="00000000" w:rsidP="00000000" w:rsidRDefault="00000000" w:rsidRPr="00000000" w14:paraId="0000004C">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receipt of the countersigned Statement of Work from the Supplier, it shall automatically form part of the Order Form.</w:t>
        <w:tab/>
        <w:t xml:space="preserve"> </w:t>
      </w:r>
    </w:p>
    <w:p w:rsidR="00000000" w:rsidDel="00000000" w:rsidP="00000000" w:rsidRDefault="00000000" w:rsidRPr="00000000" w14:paraId="0000004D">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shall send a written notice of receipt to the Supplier within two (2) Working Days and the Statement of Work shall take effect from the SOW Start Date.</w:t>
      </w:r>
    </w:p>
    <w:p w:rsidR="00000000" w:rsidDel="00000000" w:rsidP="00000000" w:rsidRDefault="00000000" w:rsidRPr="00000000" w14:paraId="0000004E">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Awarding and creating an Exempt Call-off Contract</w:t>
      </w:r>
    </w:p>
    <w:p w:rsidR="00000000" w:rsidDel="00000000" w:rsidP="00000000" w:rsidRDefault="00000000" w:rsidRPr="00000000" w14:paraId="0000004F">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Paragraph 1 above shall not apply to an Exempt Buyer.</w:t>
      </w:r>
    </w:p>
    <w:p w:rsidR="00000000" w:rsidDel="00000000" w:rsidP="00000000" w:rsidRDefault="00000000" w:rsidRPr="00000000" w14:paraId="00000050">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1">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2">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3">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Deliverables can be met by the Supplier’s Prospectus and description of the Deliverables as set out in Framework Schedule 1 (Specification) and Framework Schedule 2 (Framework Tender); and</w:t>
      </w:r>
    </w:p>
    <w:p w:rsidR="00000000" w:rsidDel="00000000" w:rsidP="00000000" w:rsidRDefault="00000000" w:rsidRPr="00000000" w14:paraId="00000054">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accept any required Exempt Procurement Amendments,</w:t>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27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6">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7">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rFonts w:ascii="Arial" w:cs="Arial" w:eastAsia="Arial" w:hAnsi="Arial"/>
          <w:sz w:val="24"/>
          <w:szCs w:val="24"/>
        </w:rPr>
      </w:pPr>
      <w:bookmarkStart w:colFirst="0" w:colLast="0" w:name="_heading=h.3rdcrjn" w:id="9"/>
      <w:bookmarkEnd w:id="9"/>
      <w:r w:rsidDel="00000000" w:rsidR="00000000" w:rsidRPr="00000000">
        <w:rPr>
          <w:rFonts w:ascii="Arial" w:cs="Arial" w:eastAsia="Arial" w:hAnsi="Arial"/>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58">
      <w:pPr>
        <w:keepNext w:val="1"/>
        <w:widowControl w:val="1"/>
        <w:spacing w:after="240" w:before="240" w:lineRule="auto"/>
        <w:ind w:left="360" w:firstLine="0"/>
        <w:jc w:val="both"/>
        <w:rPr>
          <w:rFonts w:ascii="Arial" w:cs="Arial" w:eastAsia="Arial" w:hAnsi="Arial"/>
          <w:b w:val="1"/>
          <w:sz w:val="36"/>
          <w:szCs w:val="36"/>
        </w:rPr>
      </w:pPr>
      <w:bookmarkStart w:colFirst="0" w:colLast="0" w:name="_heading=h.srmdtix03qv8" w:id="10"/>
      <w:bookmarkEnd w:id="10"/>
      <w:r w:rsidDel="00000000" w:rsidR="00000000" w:rsidRPr="00000000">
        <w:rPr>
          <w:rFonts w:ascii="Arial" w:cs="Arial" w:eastAsia="Arial" w:hAnsi="Arial"/>
          <w:b w:val="1"/>
          <w:sz w:val="36"/>
          <w:szCs w:val="36"/>
          <w:rtl w:val="0"/>
        </w:rPr>
        <w:t xml:space="preserve">Annex A.1: Prospectus</w:t>
        <w:tab/>
      </w:r>
    </w:p>
    <w:p w:rsidR="00000000" w:rsidDel="00000000" w:rsidP="00000000" w:rsidRDefault="00000000" w:rsidRPr="00000000" w14:paraId="00000059">
      <w:pPr>
        <w:keepNext w:val="1"/>
        <w:widowControl w:val="1"/>
        <w:numPr>
          <w:ilvl w:val="0"/>
          <w:numId w:val="2"/>
        </w:numPr>
        <w:spacing w:after="120" w:before="12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develop and maintain throughout the Framework Contract Period a Prospectus in the form set out in the following Prospectus Guidance, as may be amended by CCS from time to time. Reference to this Prospectus may be used as part of the Call-Off Award Procedure: </w:t>
      </w:r>
    </w:p>
    <w:p w:rsidR="00000000" w:rsidDel="00000000" w:rsidP="00000000" w:rsidRDefault="00000000" w:rsidRPr="00000000" w14:paraId="0000005A">
      <w:pPr>
        <w:keepNext w:val="1"/>
        <w:widowControl w:val="1"/>
        <w:spacing w:after="120" w:before="120" w:lineRule="auto"/>
        <w:ind w:left="1080" w:firstLine="0"/>
        <w:jc w:val="both"/>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B">
      <w:pPr>
        <w:keepNext w:val="1"/>
        <w:widowControl w:val="1"/>
        <w:spacing w:after="120" w:before="120" w:lineRule="auto"/>
        <w:ind w:left="1080" w:firstLine="0"/>
        <w:jc w:val="both"/>
        <w:rPr>
          <w:rFonts w:ascii="Arial" w:cs="Arial" w:eastAsia="Arial" w:hAnsi="Arial"/>
          <w:b w:val="1"/>
          <w:sz w:val="24"/>
          <w:szCs w:val="24"/>
          <w:highlight w:val="yellow"/>
        </w:rPr>
      </w:pPr>
      <w:bookmarkStart w:colFirst="0" w:colLast="0" w:name="_heading=h.26in1rg" w:id="11"/>
      <w:bookmarkEnd w:id="11"/>
      <w:r w:rsidDel="00000000" w:rsidR="00000000" w:rsidRPr="00000000">
        <w:rPr>
          <w:rFonts w:ascii="Arial" w:cs="Arial" w:eastAsia="Arial" w:hAnsi="Arial"/>
          <w:b w:val="1"/>
          <w:sz w:val="24"/>
          <w:szCs w:val="24"/>
        </w:rPr>
        <w:pict>
          <v:shape id="_x0000_i1027" style="width:75pt;height:49pt" o:ole="" type="#_x0000_t75">
            <v:imagedata r:id="rId1" o:title=""/>
          </v:shape>
          <o:OLEObject DrawAspect="Icon" r:id="rId2" ObjectID="_1801470327" ProgID="Word.Document.12" ShapeID="_x0000_i1027" Type="Embed">
            <o:FieldCodes>\s</o:FieldCodes>
          </o:OLEObject>
        </w:pict>
      </w:r>
      <w:r w:rsidDel="00000000" w:rsidR="00000000" w:rsidRPr="00000000">
        <w:rPr>
          <w:rtl w:val="0"/>
        </w:rPr>
      </w:r>
    </w:p>
    <w:p w:rsidR="00000000" w:rsidDel="00000000" w:rsidP="00000000" w:rsidRDefault="00000000" w:rsidRPr="00000000" w14:paraId="0000005C">
      <w:pPr>
        <w:keepNext w:val="1"/>
        <w:widowControl w:val="1"/>
        <w:spacing w:after="240" w:before="240" w:lineRule="auto"/>
        <w:ind w:left="360" w:firstLine="0"/>
        <w:jc w:val="both"/>
        <w:rPr>
          <w:rFonts w:ascii="Arial" w:cs="Arial" w:eastAsia="Arial" w:hAnsi="Arial"/>
          <w:b w:val="1"/>
          <w:sz w:val="24"/>
          <w:szCs w:val="24"/>
        </w:rPr>
      </w:pPr>
      <w:r w:rsidDel="00000000" w:rsidR="00000000" w:rsidRPr="00000000">
        <w:rPr>
          <w:rFonts w:ascii="Arial" w:cs="Arial" w:eastAsia="Arial" w:hAnsi="Arial"/>
          <w:b w:val="1"/>
          <w:sz w:val="36"/>
          <w:szCs w:val="36"/>
          <w:rtl w:val="0"/>
        </w:rPr>
        <w:t xml:space="preserve">Annex A.2: Capability Matrix</w:t>
      </w:r>
      <w:r w:rsidDel="00000000" w:rsidR="00000000" w:rsidRPr="00000000">
        <w:rPr>
          <w:rtl w:val="0"/>
        </w:rPr>
      </w:r>
    </w:p>
    <w:p w:rsidR="00000000" w:rsidDel="00000000" w:rsidP="00000000" w:rsidRDefault="00000000" w:rsidRPr="00000000" w14:paraId="0000005D">
      <w:pPr>
        <w:jc w:val="both"/>
        <w:rPr>
          <w:rFonts w:ascii="Arial" w:cs="Arial" w:eastAsia="Arial" w:hAnsi="Arial"/>
          <w:b w:val="1"/>
          <w:sz w:val="24"/>
          <w:szCs w:val="24"/>
          <w:highlight w:val="yellow"/>
        </w:rPr>
      </w:pPr>
      <w:bookmarkStart w:colFirst="0" w:colLast="0" w:name="_heading=h.4d34og8" w:id="12"/>
      <w:bookmarkEnd w:id="12"/>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E">
      <w:pPr>
        <w:ind w:left="720" w:firstLine="215.99999999999994"/>
        <w:jc w:val="both"/>
        <w:rPr>
          <w:rFonts w:ascii="Arial" w:cs="Arial" w:eastAsia="Arial" w:hAnsi="Arial"/>
          <w:sz w:val="24"/>
          <w:szCs w:val="24"/>
        </w:rPr>
      </w:pPr>
      <w:r w:rsidDel="00000000" w:rsidR="00000000" w:rsidRPr="00000000">
        <w:rPr>
          <w:rFonts w:ascii="Arial" w:cs="Arial" w:eastAsia="Arial" w:hAnsi="Arial"/>
          <w:b w:val="1"/>
          <w:sz w:val="24"/>
          <w:szCs w:val="24"/>
        </w:rPr>
        <w:pict>
          <v:shape id="_x0000_i1030" style="width:75pt;height:49pt" o:ole="" type="#_x0000_t75">
            <v:imagedata r:id="rId3" o:title=""/>
          </v:shape>
          <o:OLEObject DrawAspect="Icon" r:id="rId4" ObjectID="_1801470328" ProgID="Excel.Sheet.12" ShapeID="_x0000_i1030" Type="Embed"/>
        </w:pict>
      </w: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jc w:val="both"/>
        <w:rPr>
          <w:rFonts w:ascii="Arial" w:cs="Arial" w:eastAsia="Arial" w:hAnsi="Arial"/>
          <w:sz w:val="36"/>
          <w:szCs w:val="36"/>
        </w:rPr>
      </w:pPr>
      <w:r w:rsidDel="00000000" w:rsidR="00000000" w:rsidRPr="00000000">
        <w:rPr>
          <w:rFonts w:ascii="Arial" w:cs="Arial" w:eastAsia="Arial" w:hAnsi="Arial"/>
          <w:b w:val="1"/>
          <w:sz w:val="36"/>
          <w:szCs w:val="36"/>
          <w:rtl w:val="0"/>
        </w:rPr>
        <w:t xml:space="preserve">Part 2: Award Criteria</w:t>
      </w:r>
      <w:r w:rsidDel="00000000" w:rsidR="00000000" w:rsidRPr="00000000">
        <w:rPr>
          <w:rtl w:val="0"/>
        </w:rPr>
      </w:r>
    </w:p>
    <w:p w:rsidR="00000000" w:rsidDel="00000000" w:rsidP="00000000" w:rsidRDefault="00000000" w:rsidRPr="00000000" w14:paraId="00000060">
      <w:pPr>
        <w:widowControl w:val="1"/>
        <w:numPr>
          <w:ilvl w:val="0"/>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Part 2 lays out award criteria for direct award (Annex B) and for further competition (Annex C) in accordance with the Call-Off Procedure.</w:t>
      </w:r>
    </w:p>
    <w:p w:rsidR="00000000" w:rsidDel="00000000" w:rsidP="00000000" w:rsidRDefault="00000000" w:rsidRPr="00000000" w14:paraId="00000061">
      <w:pPr>
        <w:widowControl w:val="1"/>
        <w:numPr>
          <w:ilvl w:val="0"/>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Call-Off Contract may be awarded on the basis of the most economically advantageous tender ("MEAT").</w:t>
      </w:r>
    </w:p>
    <w:p w:rsidR="00000000" w:rsidDel="00000000" w:rsidP="00000000" w:rsidRDefault="00000000" w:rsidRPr="00000000" w14:paraId="00000062">
      <w:pPr>
        <w:jc w:val="both"/>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3">
      <w:pPr>
        <w:keepNext w:val="1"/>
        <w:widowControl w:val="1"/>
        <w:pBdr>
          <w:top w:space="0" w:sz="0" w:val="nil"/>
          <w:left w:space="0" w:sz="0" w:val="nil"/>
          <w:bottom w:space="0" w:sz="0" w:val="nil"/>
          <w:right w:space="0" w:sz="0" w:val="nil"/>
          <w:between w:space="0" w:sz="0" w:val="nil"/>
        </w:pBdr>
        <w:spacing w:after="240" w:before="240" w:lineRule="auto"/>
        <w:ind w:firstLine="426"/>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B: Direct award criteria</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tabs>
          <w:tab w:val="left" w:leader="none" w:pos="0"/>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ascertain who could provide the Buyer’s requirements, the Buyer will use the down-select, identifying those elements of its requirements set out in the Capability Matrix and available Jurisdictions, the Prospectus and Expressions of Interest.  This may result in a direct award being made by the Buyer to the Supplier.</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tabs>
          <w:tab w:val="left" w:leader="none" w:pos="0"/>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criteria and weightings shall apply to the evaluation for direct award of each Call-Off Contract.</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36"/>
        <w:gridCol w:w="4678"/>
        <w:tblGridChange w:id="0">
          <w:tblGrid>
            <w:gridCol w:w="4536"/>
            <w:gridCol w:w="4678"/>
          </w:tblGrid>
        </w:tblGridChange>
      </w:tblGrid>
      <w:tr>
        <w:trPr>
          <w:cantSplit w:val="0"/>
          <w:trHeight w:val="742" w:hRule="atLeast"/>
          <w:tblHeader w:val="0"/>
        </w:trPr>
        <w:tc>
          <w:tcPr>
            <w:shd w:fill="e7e6e6" w:val="clear"/>
            <w:vAlign w:val="center"/>
          </w:tcPr>
          <w:p w:rsidR="00000000" w:rsidDel="00000000" w:rsidP="00000000" w:rsidRDefault="00000000" w:rsidRPr="00000000" w14:paraId="00000066">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shd w:fill="e7e6e6" w:val="clear"/>
            <w:vAlign w:val="center"/>
          </w:tcPr>
          <w:p w:rsidR="00000000" w:rsidDel="00000000" w:rsidP="00000000" w:rsidRDefault="00000000" w:rsidRPr="00000000" w14:paraId="00000067">
            <w:pPr>
              <w:widowControl w:val="1"/>
              <w:spacing w:after="200" w:before="12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Weighting</w:t>
            </w:r>
          </w:p>
        </w:tc>
      </w:tr>
      <w:tr>
        <w:trPr>
          <w:cantSplit w:val="0"/>
          <w:tblHeader w:val="0"/>
        </w:trPr>
        <w:tc>
          <w:tcPr>
            <w:shd w:fill="auto" w:val="clear"/>
          </w:tcPr>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851"/>
              </w:tabs>
              <w:jc w:val="both"/>
              <w:rPr>
                <w:rFonts w:ascii="Arial" w:cs="Arial" w:eastAsia="Arial" w:hAnsi="Arial"/>
              </w:rPr>
            </w:pPr>
            <w:r w:rsidDel="00000000" w:rsidR="00000000" w:rsidRPr="00000000">
              <w:rPr>
                <w:rFonts w:ascii="Arial" w:cs="Arial" w:eastAsia="Arial" w:hAnsi="Arial"/>
                <w:sz w:val="24"/>
                <w:szCs w:val="24"/>
                <w:rtl w:val="0"/>
              </w:rPr>
              <w:t xml:space="preserve">Price:</w:t>
            </w:r>
            <w:r w:rsidDel="00000000" w:rsidR="00000000" w:rsidRPr="00000000">
              <w:rPr>
                <w:rFonts w:ascii="Arial" w:cs="Arial" w:eastAsia="Arial" w:hAnsi="Arial"/>
                <w:rtl w:val="0"/>
              </w:rPr>
              <w:t xml:space="preserve"> Which may include but is not limited to:</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Price (Rate Card)</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Cost Effectiveness</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Life Cycle Costs</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06D">
            <w:pPr>
              <w:widowControl w:val="1"/>
              <w:spacing w:after="200" w:before="12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10-90%</w:t>
            </w:r>
          </w:p>
        </w:tc>
      </w:tr>
      <w:tr>
        <w:trPr>
          <w:cantSplit w:val="0"/>
          <w:tblHeader w:val="0"/>
        </w:trPr>
        <w:tc>
          <w:tcPr>
            <w:shd w:fill="auto" w:val="clea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leader="none" w:pos="851"/>
              </w:tabs>
              <w:jc w:val="both"/>
              <w:rPr>
                <w:rFonts w:ascii="Arial" w:cs="Arial" w:eastAsia="Arial" w:hAnsi="Arial"/>
              </w:rPr>
            </w:pPr>
            <w:r w:rsidDel="00000000" w:rsidR="00000000" w:rsidRPr="00000000">
              <w:rPr>
                <w:rFonts w:ascii="Arial" w:cs="Arial" w:eastAsia="Arial" w:hAnsi="Arial"/>
                <w:sz w:val="24"/>
                <w:szCs w:val="24"/>
                <w:rtl w:val="0"/>
              </w:rPr>
              <w:t xml:space="preserve">Quality: </w:t>
            </w:r>
            <w:r w:rsidDel="00000000" w:rsidR="00000000" w:rsidRPr="00000000">
              <w:rPr>
                <w:rFonts w:ascii="Arial" w:cs="Arial" w:eastAsia="Arial" w:hAnsi="Arial"/>
                <w:rtl w:val="0"/>
              </w:rPr>
              <w:t xml:space="preserve">Which may include but is not limited to:</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Added Value</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Innovation</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Social Value</w:t>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Approach to Delivery of The Services</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Implementation</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Use of Supply Chain / Partners</w:t>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076">
            <w:pPr>
              <w:widowControl w:val="1"/>
              <w:spacing w:after="200" w:before="12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10-90%</w:t>
            </w:r>
          </w:p>
        </w:tc>
      </w:tr>
    </w:tbl>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i w:val="1"/>
          <w:highlight w:val="white"/>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both"/>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In keeping with PPN 06/20, the Buyer should agree with the Supplier what they can and will do to help work towards the social value priorities set out in the Framework Schedule 1 (Specification).  Buyers should discuss with the Supplier what would be an appropriate and proportionate commitment, and this commitment will form part of the Call-off Contract.  Buyers would then evaluate the Supplier’s performance against this commitment as part of ongoing contract management.</w:t>
      </w:r>
      <w:r w:rsidDel="00000000" w:rsidR="00000000" w:rsidRPr="00000000">
        <w:rPr>
          <w:rFonts w:ascii="Arial" w:cs="Arial" w:eastAsia="Arial" w:hAnsi="Arial"/>
          <w:i w:val="1"/>
          <w:rtl w:val="0"/>
        </w:rPr>
        <w:t xml:space="preserve"> The Buyer should note CCS has obtained social value commitments at Framework, which are set out in Framework Schedule 1 – Specification.</w:t>
      </w: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keepNext w:val="1"/>
        <w:widowControl w:val="1"/>
        <w:pBdr>
          <w:top w:space="0" w:sz="0" w:val="nil"/>
          <w:left w:space="0" w:sz="0" w:val="nil"/>
          <w:bottom w:space="0" w:sz="0" w:val="nil"/>
          <w:right w:space="0" w:sz="0" w:val="nil"/>
          <w:between w:space="0" w:sz="0" w:val="nil"/>
        </w:pBdr>
        <w:spacing w:after="240" w:before="240" w:lineRule="auto"/>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C: Further Competition Award Criteria</w:t>
      </w:r>
    </w:p>
    <w:p w:rsidR="00000000" w:rsidDel="00000000" w:rsidP="00000000" w:rsidRDefault="00000000" w:rsidRPr="00000000" w14:paraId="0000007B">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ascertain who could provide the Buyer’s requirements, the Buyer will use the down-select, identifying those elements of its requirements set out in the Capability Matrix and available Jurisdictions, the Prospectus, Expressions of Interest and/or Conference Call.  Where there are 2 or more Suppliers who could provide the Buyer’s requirements a Further Competition Procedure shall be undertaken.</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criteria and (weightings in respect of Option 1) shall apply to the evaluation of tenders received through the Further Competition Procedure:</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 Relative Weightings </w:t>
      </w:r>
    </w:p>
    <w:tbl>
      <w:tblPr>
        <w:tblStyle w:val="Table2"/>
        <w:tblW w:w="9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4961"/>
        <w:tblGridChange w:id="0">
          <w:tblGrid>
            <w:gridCol w:w="4815"/>
            <w:gridCol w:w="4961"/>
          </w:tblGrid>
        </w:tblGridChange>
      </w:tblGrid>
      <w:tr>
        <w:trPr>
          <w:cantSplit w:val="0"/>
          <w:tblHeader w:val="0"/>
        </w:trPr>
        <w:tc>
          <w:tcPr>
            <w:shd w:fill="e7e6e6" w:val="clea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rPr>
            </w:pPr>
            <w:r w:rsidDel="00000000" w:rsidR="00000000" w:rsidRPr="00000000">
              <w:rPr>
                <w:rFonts w:ascii="Arial" w:cs="Arial" w:eastAsia="Arial" w:hAnsi="Arial"/>
                <w:b w:val="1"/>
                <w:rtl w:val="0"/>
              </w:rPr>
              <w:t xml:space="preserve">Criteria</w:t>
            </w:r>
            <w:r w:rsidDel="00000000" w:rsidR="00000000" w:rsidRPr="00000000">
              <w:rPr>
                <w:rtl w:val="0"/>
              </w:rPr>
            </w:r>
          </w:p>
        </w:tc>
        <w:tc>
          <w:tcPr>
            <w:shd w:fill="e7e6e6" w:val="clear"/>
            <w:vAlign w:val="center"/>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b w:val="1"/>
              </w:rPr>
            </w:pPr>
            <w:r w:rsidDel="00000000" w:rsidR="00000000" w:rsidRPr="00000000">
              <w:rPr>
                <w:rFonts w:ascii="Arial" w:cs="Arial" w:eastAsia="Arial" w:hAnsi="Arial"/>
                <w:b w:val="1"/>
                <w:sz w:val="24"/>
                <w:szCs w:val="24"/>
                <w:rtl w:val="0"/>
              </w:rPr>
              <w:t xml:space="preserve">Weighting </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leader="none" w:pos="851"/>
              </w:tabs>
              <w:jc w:val="both"/>
              <w:rPr>
                <w:rFonts w:ascii="Arial" w:cs="Arial" w:eastAsia="Arial" w:hAnsi="Arial"/>
              </w:rPr>
            </w:pPr>
            <w:r w:rsidDel="00000000" w:rsidR="00000000" w:rsidRPr="00000000">
              <w:rPr>
                <w:rFonts w:ascii="Arial" w:cs="Arial" w:eastAsia="Arial" w:hAnsi="Arial"/>
                <w:sz w:val="24"/>
                <w:szCs w:val="24"/>
                <w:rtl w:val="0"/>
              </w:rPr>
              <w:t xml:space="preserve">Price:</w:t>
            </w:r>
            <w:r w:rsidDel="00000000" w:rsidR="00000000" w:rsidRPr="00000000">
              <w:rPr>
                <w:rFonts w:ascii="Arial" w:cs="Arial" w:eastAsia="Arial" w:hAnsi="Arial"/>
                <w:rtl w:val="0"/>
              </w:rPr>
              <w:t xml:space="preserve"> Which may include but is not limited to:</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Price (Rate Card)</w:t>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Cost Effectiveness</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Life Cycle Costs</w:t>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left" w:leader="none" w:pos="309"/>
              </w:tabs>
              <w:ind w:left="309" w:hanging="309"/>
              <w:jc w:val="both"/>
              <w:rPr>
                <w:rFonts w:ascii="Arial" w:cs="Arial" w:eastAsia="Arial" w:hAnsi="Arial"/>
              </w:rPr>
            </w:pPr>
            <w:r w:rsidDel="00000000" w:rsidR="00000000" w:rsidRPr="00000000">
              <w:rPr>
                <w:rFonts w:ascii="Arial" w:cs="Arial" w:eastAsia="Arial" w:hAnsi="Arial"/>
                <w:rtl w:val="0"/>
              </w:rPr>
              <w:t xml:space="preserve">     </w:t>
            </w:r>
          </w:p>
        </w:tc>
        <w:tc>
          <w:tcPr>
            <w:tcBorders>
              <w:bottom w:color="000000" w:space="0" w:sz="4" w:val="single"/>
            </w:tcBorders>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10-90%</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left" w:leader="none" w:pos="851"/>
                <w:tab w:val="left" w:leader="none" w:pos="2918"/>
              </w:tabs>
              <w:jc w:val="both"/>
              <w:rPr>
                <w:rFonts w:ascii="Arial" w:cs="Arial" w:eastAsia="Arial" w:hAnsi="Arial"/>
              </w:rPr>
            </w:pPr>
            <w:r w:rsidDel="00000000" w:rsidR="00000000" w:rsidRPr="00000000">
              <w:rPr>
                <w:rFonts w:ascii="Arial" w:cs="Arial" w:eastAsia="Arial" w:hAnsi="Arial"/>
                <w:sz w:val="24"/>
                <w:szCs w:val="24"/>
                <w:rtl w:val="0"/>
              </w:rPr>
              <w:t xml:space="preserve">Quality -</w:t>
            </w:r>
            <w:r w:rsidDel="00000000" w:rsidR="00000000" w:rsidRPr="00000000">
              <w:rPr>
                <w:rFonts w:ascii="Arial" w:cs="Arial" w:eastAsia="Arial" w:hAnsi="Arial"/>
                <w:rtl w:val="0"/>
              </w:rPr>
              <w:t xml:space="preserve"> Which may include but is not limited to:</w:t>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Added Value</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Innovation</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Social Value</w:t>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Approach to Delivery of The Services</w:t>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Implementation</w:t>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Use of Supply Chain / Partners</w:t>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rPr>
            </w:pPr>
            <w:r w:rsidDel="00000000" w:rsidR="00000000" w:rsidRPr="00000000">
              <w:rPr>
                <w:rFonts w:ascii="Arial" w:cs="Arial" w:eastAsia="Arial" w:hAnsi="Arial"/>
                <w:b w:val="1"/>
                <w:sz w:val="24"/>
                <w:szCs w:val="24"/>
                <w:rtl w:val="0"/>
              </w:rPr>
              <w:t xml:space="preserve">10-90%</w:t>
            </w:r>
            <w:r w:rsidDel="00000000" w:rsidR="00000000" w:rsidRPr="00000000">
              <w:rPr>
                <w:rtl w:val="0"/>
              </w:rPr>
            </w:r>
          </w:p>
        </w:tc>
      </w:tr>
    </w:tbl>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 Price per Quality Point (‘PQP’) </w:t>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PQP is evaluated for each tender by:</w:t>
      </w:r>
    </w:p>
    <w:p w:rsidR="00000000" w:rsidDel="00000000" w:rsidP="00000000" w:rsidRDefault="00000000" w:rsidRPr="00000000" w14:paraId="0000009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determining the quality score for each tender, expressed as a whole number rather than as a percentage (though the whole number may still be points out of 100); and </w:t>
      </w:r>
    </w:p>
    <w:p w:rsidR="00000000" w:rsidDel="00000000" w:rsidP="00000000" w:rsidRDefault="00000000" w:rsidRPr="00000000" w14:paraId="0000009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dividing the price by the quality score to give an output price per quality point.</w:t>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ind w:left="1440" w:firstLine="720"/>
        <w:jc w:val="both"/>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________Price________</w:t>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ind w:left="216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 Score</w:t>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bookmarkStart w:colFirst="0" w:colLast="0" w:name="_heading=h.2s8eyo1" w:id="13"/>
      <w:bookmarkEnd w:id="13"/>
      <w:r w:rsidDel="00000000" w:rsidR="00000000" w:rsidRPr="00000000">
        <w:rPr>
          <w:rFonts w:ascii="Arial" w:cs="Arial" w:eastAsia="Arial" w:hAnsi="Arial"/>
          <w:sz w:val="24"/>
          <w:szCs w:val="24"/>
          <w:rtl w:val="0"/>
        </w:rPr>
        <w:t xml:space="preserve">The number arrived at is the PQP and the tender with the lowest PQP is the most economically advantageous tender (“MEAT”).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bl>
      <w:tblPr>
        <w:tblStyle w:val="Table3"/>
        <w:tblW w:w="91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82"/>
        <w:gridCol w:w="4583"/>
        <w:tblGridChange w:id="0">
          <w:tblGrid>
            <w:gridCol w:w="4582"/>
            <w:gridCol w:w="4583"/>
          </w:tblGrid>
        </w:tblGridChange>
      </w:tblGrid>
      <w:tr>
        <w:trPr>
          <w:cantSplit w:val="0"/>
          <w:tblHeader w:val="0"/>
        </w:trPr>
        <w:tc>
          <w:tcPr>
            <w:gridSpan w:val="2"/>
            <w:shd w:fill="e7e6e6" w:val="clear"/>
          </w:tcPr>
          <w:p w:rsidR="00000000" w:rsidDel="00000000" w:rsidP="00000000" w:rsidRDefault="00000000" w:rsidRPr="00000000" w14:paraId="0000009E">
            <w:pPr>
              <w:widowControl w:val="1"/>
              <w:tabs>
                <w:tab w:val="left" w:leader="none"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Criteria</w:t>
            </w:r>
            <w:r w:rsidDel="00000000" w:rsidR="00000000" w:rsidRPr="00000000">
              <w:rPr>
                <w:rtl w:val="0"/>
              </w:rPr>
            </w:r>
          </w:p>
        </w:tc>
      </w:tr>
      <w:tr>
        <w:trPr>
          <w:cantSplit w:val="0"/>
          <w:tblHeader w:val="0"/>
        </w:trPr>
        <w:tc>
          <w:tcPr/>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left" w:leader="none" w:pos="851"/>
              </w:tabs>
              <w:jc w:val="both"/>
              <w:rPr>
                <w:rFonts w:ascii="Arial" w:cs="Arial" w:eastAsia="Arial" w:hAnsi="Arial"/>
              </w:rPr>
            </w:pPr>
            <w:r w:rsidDel="00000000" w:rsidR="00000000" w:rsidRPr="00000000">
              <w:rPr>
                <w:rFonts w:ascii="Arial" w:cs="Arial" w:eastAsia="Arial" w:hAnsi="Arial"/>
                <w:rtl w:val="0"/>
              </w:rPr>
              <w:t xml:space="preserve">Quality - Which may include but is not limited to:</w:t>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Added Value</w:t>
            </w:r>
          </w:p>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Innovation</w:t>
            </w:r>
          </w:p>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Social Value</w:t>
            </w:r>
          </w:p>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Approach to Delivery of The Services</w:t>
            </w:r>
          </w:p>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Implementation</w:t>
            </w:r>
          </w:p>
          <w:p w:rsidR="00000000" w:rsidDel="00000000" w:rsidP="00000000" w:rsidRDefault="00000000" w:rsidRPr="00000000" w14:paraId="000000A6">
            <w:pPr>
              <w:widowControl w:val="1"/>
              <w:ind w:left="425" w:firstLine="0"/>
              <w:rPr>
                <w:rFonts w:ascii="Arial" w:cs="Arial" w:eastAsia="Arial" w:hAnsi="Arial"/>
              </w:rPr>
            </w:pPr>
            <w:r w:rsidDel="00000000" w:rsidR="00000000" w:rsidRPr="00000000">
              <w:rPr>
                <w:rFonts w:ascii="Arial" w:cs="Arial" w:eastAsia="Arial" w:hAnsi="Arial"/>
                <w:rtl w:val="0"/>
              </w:rPr>
              <w:t xml:space="preserve">•</w:t>
              <w:tab/>
              <w:t xml:space="preserve">Use of Supply Chain / Partners </w:t>
            </w:r>
          </w:p>
          <w:p w:rsidR="00000000" w:rsidDel="00000000" w:rsidP="00000000" w:rsidRDefault="00000000" w:rsidRPr="00000000" w14:paraId="000000A7">
            <w:pPr>
              <w:widowControl w:val="1"/>
              <w:ind w:left="425"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tabs>
                <w:tab w:val="left" w:leader="none" w:pos="851"/>
              </w:tabs>
              <w:jc w:val="both"/>
              <w:rPr>
                <w:rFonts w:ascii="Arial" w:cs="Arial" w:eastAsia="Arial" w:hAnsi="Arial"/>
              </w:rPr>
            </w:pPr>
            <w:r w:rsidDel="00000000" w:rsidR="00000000" w:rsidRPr="00000000">
              <w:rPr>
                <w:rFonts w:ascii="Arial" w:cs="Arial" w:eastAsia="Arial" w:hAnsi="Arial"/>
                <w:rtl w:val="0"/>
              </w:rPr>
              <w:t xml:space="preserve">Price: Which may include but is not limited to:</w:t>
            </w:r>
          </w:p>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Price (Rate Card)</w:t>
            </w:r>
          </w:p>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Cost Effectiveness</w:t>
            </w:r>
          </w:p>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Life Cycle Costs</w:t>
            </w:r>
          </w:p>
          <w:p w:rsidR="00000000" w:rsidDel="00000000" w:rsidP="00000000" w:rsidRDefault="00000000" w:rsidRPr="00000000" w14:paraId="000000AC">
            <w:pPr>
              <w:widowControl w:val="1"/>
              <w:ind w:left="65" w:firstLine="0"/>
              <w:rPr>
                <w:rFonts w:ascii="Arial" w:cs="Arial" w:eastAsia="Arial" w:hAnsi="Arial"/>
                <w:b w:val="1"/>
              </w:rPr>
            </w:pPr>
            <w:r w:rsidDel="00000000" w:rsidR="00000000" w:rsidRPr="00000000">
              <w:rPr>
                <w:rtl w:val="0"/>
              </w:rPr>
            </w:r>
          </w:p>
        </w:tc>
      </w:tr>
    </w:tbl>
    <w:p w:rsidR="00000000" w:rsidDel="00000000" w:rsidP="00000000" w:rsidRDefault="00000000" w:rsidRPr="00000000" w14:paraId="000000AD">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widowControl w:val="1"/>
        <w:pBdr>
          <w:top w:space="0" w:sz="0" w:val="nil"/>
          <w:left w:space="0" w:sz="0" w:val="nil"/>
          <w:bottom w:space="0" w:sz="0" w:val="nil"/>
          <w:right w:space="0" w:sz="0" w:val="nil"/>
          <w:between w:space="0" w:sz="0" w:val="nil"/>
        </w:pBdr>
        <w:jc w:val="both"/>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In keeping with PPN 06/20, the Buyer should agree with the Supplier what they can and will do to help work towards the social value priorities set out in the Framework Schedule 1 (Specification).  Buyers should discuss with the Supplier what would be an appropriate and proportionate commitment, and this commitment will form part of the Call-off Contract.  Buyers would then evaluate the Supplier’s performance against this commitment as part of ongoing contract </w:t>
      </w:r>
      <w:r w:rsidDel="00000000" w:rsidR="00000000" w:rsidRPr="00000000">
        <w:rPr>
          <w:rFonts w:ascii="Arial" w:cs="Arial" w:eastAsia="Arial" w:hAnsi="Arial"/>
          <w:i w:val="1"/>
          <w:rtl w:val="0"/>
        </w:rPr>
        <w:t xml:space="preserve">management. The Buyer should note CCS has obtained social value commitments at Framework, which are set out in Framework Schedule 1 – Specification.</w:t>
      </w:r>
      <w:r w:rsidDel="00000000" w:rsidR="00000000" w:rsidRPr="00000000">
        <w:rPr>
          <w:rtl w:val="0"/>
        </w:rPr>
      </w:r>
    </w:p>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sectPr>
      <w:headerReference r:id="rId11" w:type="default"/>
      <w:headerReference r:id="rId12" w:type="first"/>
      <w:footerReference r:id="rId13" w:type="default"/>
      <w:footerReference r:id="rId14"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B6">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7">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B9">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BA">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B">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rFonts w:ascii="Arial" w:cs="Arial" w:eastAsia="Arial" w:hAnsi="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5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6"/>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6"/>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6"/>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ListParagraph">
    <w:name w:val="List Paragraph"/>
    <w:basedOn w:val="Normal"/>
    <w:uiPriority w:val="34"/>
    <w:qFormat w:val="1"/>
    <w:rsid w:val="00C87BD8"/>
    <w:pPr>
      <w:ind w:left="720"/>
      <w:contextualSpacing w:val="1"/>
    </w:pPr>
  </w:style>
  <w:style w:type="numbering" w:styleId="WWNum101" w:customStyle="1">
    <w:name w:val="WWNum101"/>
    <w:basedOn w:val="NoList"/>
    <w:rsid w:val="0040009E"/>
  </w:style>
  <w:style w:type="table" w:styleId="TableGrid1" w:customStyle="1">
    <w:name w:val="Table Grid1"/>
    <w:basedOn w:val="TableNormal"/>
    <w:next w:val="TableGrid"/>
    <w:uiPriority w:val="39"/>
    <w:rsid w:val="0040009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uiPriority w:val="99"/>
    <w:semiHidden w:val="1"/>
    <w:unhideWhenUsed w:val="1"/>
    <w:rsid w:val="00772F61"/>
    <w:pPr>
      <w:widowControl w:val="1"/>
      <w:spacing w:after="100" w:afterAutospacing="1" w:before="100" w:beforeAutospacing="1"/>
    </w:pPr>
    <w:rPr>
      <w:rFonts w:ascii="Times New Roman" w:cs="Times New Roman" w:eastAsia="Times New Roman" w:hAnsi="Times New Roman"/>
      <w:sz w:val="24"/>
      <w:szCs w:val="24"/>
    </w:r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customXml" Target="../customXML/item1.xm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image" Target="media/image1.emf"/><Relationship Id="rId2" Type="http://schemas.openxmlformats.org/officeDocument/2006/relationships/package" Target="embeddings/Microsoft_Office_Word_Document1.docx"/><Relationship Id="rId3" Type="http://schemas.openxmlformats.org/officeDocument/2006/relationships/image" Target="media/image2.emf"/><Relationship Id="rId4" Type="http://schemas.openxmlformats.org/officeDocument/2006/relationships/package" Target="embeddings/Microsoft_Excel_Sheet1.xlsx"/><Relationship Id="rId9" Type="http://schemas.openxmlformats.org/officeDocument/2006/relationships/styles" Target="styles.xml"/><Relationship Id="rId14" Type="http://schemas.openxmlformats.org/officeDocument/2006/relationships/footer" Target="footer2.xml"/><Relationship Id="rId5" Type="http://schemas.openxmlformats.org/officeDocument/2006/relationships/theme" Target="theme/theme1.xml"/><Relationship Id="rId6" Type="http://schemas.openxmlformats.org/officeDocument/2006/relationships/settings" Target="settings.xml"/><Relationship Id="rId7" Type="http://schemas.openxmlformats.org/officeDocument/2006/relationships/fontTable" Target="fontTable.xml"/><Relationship Id="rId8" Type="http://schemas.openxmlformats.org/officeDocument/2006/relationships/numbering" Target="numbering.xml"/></Relationships>
</file>

<file path=word/_rels/fontTable.xml.rels><?xml version="1.0" encoding="UTF-8" standalone="yes"?><Relationships xmlns="http://schemas.openxmlformats.org/package/2006/relationships"><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5"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9yf6Pcr3hHsdcj7p/me9rQQdVQ==">CgMxLjAyCWlkLmdqZGd4czIIaC5namRneHMyCWguMzBqMHpsbDIJaC4xZm9iOXRlMgloLjN6bnlzaDcyCWguMmV0OTJwMDIIaC50eWpjd3QyCWguM2R5NnZrbTIJaC4xdDNoNXNmMgloLjNyZGNyam4yDmguc3JtZHRpeDAzcXY4MgloLjI2aW4xcmcyCWguNGQzNG9nODIJaC4yczhleW8xOAByITFtaGV3dTAyLVVNMm1sek9TUy1jdHdGLWNXRVZKZndSVQ==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2025-02-19T11:39:00Z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